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仿宋_GB2312" w:hAnsi="Cambria" w:eastAsia="仿宋_GB2312" w:cs="宋体"/>
          <w:kern w:val="0"/>
          <w:sz w:val="32"/>
          <w:szCs w:val="32"/>
        </w:rPr>
      </w:pPr>
      <w:r>
        <w:rPr>
          <w:sz w:val="32"/>
        </w:rPr>
        <mc:AlternateContent>
          <mc:Choice Requires="wps">
            <w:drawing>
              <wp:anchor distT="0" distB="0" distL="114300" distR="114300" simplePos="0" relativeHeight="251658240" behindDoc="0" locked="0" layoutInCell="1" allowOverlap="1">
                <wp:simplePos x="0" y="0"/>
                <wp:positionH relativeFrom="column">
                  <wp:posOffset>1880870</wp:posOffset>
                </wp:positionH>
                <wp:positionV relativeFrom="paragraph">
                  <wp:posOffset>-725805</wp:posOffset>
                </wp:positionV>
                <wp:extent cx="3867150" cy="581025"/>
                <wp:effectExtent l="4445" t="4445" r="14605" b="5080"/>
                <wp:wrapNone/>
                <wp:docPr id="1" name="文本框 1"/>
                <wp:cNvGraphicFramePr/>
                <a:graphic xmlns:a="http://schemas.openxmlformats.org/drawingml/2006/main">
                  <a:graphicData uri="http://schemas.microsoft.com/office/word/2010/wordprocessingShape">
                    <wps:wsp>
                      <wps:cNvSpPr txBox="1"/>
                      <wps:spPr>
                        <a:xfrm>
                          <a:off x="0" y="0"/>
                          <a:ext cx="3867150" cy="5810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sz w:val="24"/>
                                <w:szCs w:val="28"/>
                                <w:lang w:val="en-US" w:eastAsia="zh-CN"/>
                              </w:rPr>
                              <w:t>请教务处填报，并保证与数据平台相一致，请于9月24日前，提交教务处潘慧老师。1352682737@qq.com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1pt;margin-top:-57.15pt;height:45.75pt;width:304.5pt;z-index:251658240;mso-width-relative:page;mso-height-relative:page;" fillcolor="#FFFFFF [3201]" filled="t" stroked="t" coordsize="21600,21600" o:gfxdata="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ODIdgNgAAAAMAQAADwAAAAAAAAABACAAAAAiAAAAZHJzL2Rv&#10;d25yZXYueG1sUEsBAhQAFAAAAAgAh07iQLNHoCg6AgAAaQQAAA4AAAAAAAAAAQAgAAAAJwEAAGRy&#10;cy9lMm9Eb2MueG1sUEsFBgAAAAAGAAYAWQEAANMFAAAAAA==&#10;">
                <v:fill on="t" focussize="0,0"/>
                <v:stroke weight="0.5pt" color="#000000 [3204]" joinstyle="round"/>
                <v:imagedata o:title=""/>
                <o:lock v:ext="edit" aspectratio="f"/>
                <v:textbox>
                  <w:txbxContent>
                    <w:p>
                      <w:pPr>
                        <w:rPr>
                          <w:rFonts w:hint="default" w:eastAsiaTheme="minorEastAsia"/>
                          <w:lang w:val="en-US" w:eastAsia="zh-CN"/>
                        </w:rPr>
                      </w:pPr>
                      <w:r>
                        <w:rPr>
                          <w:rFonts w:hint="eastAsia"/>
                          <w:sz w:val="24"/>
                          <w:szCs w:val="28"/>
                          <w:lang w:val="en-US" w:eastAsia="zh-CN"/>
                        </w:rPr>
                        <w:t>请教务处填报，并保证与数据平台相一致，请于9月24日前，提交教务处潘慧老师。1352682737@qq.com</w:t>
                      </w:r>
                    </w:p>
                  </w:txbxContent>
                </v:textbox>
              </v:shape>
            </w:pict>
          </mc:Fallback>
        </mc:AlternateContent>
      </w:r>
      <w:r>
        <w:rPr>
          <w:rFonts w:hint="eastAsia" w:ascii="仿宋_GB2312" w:hAnsi="Cambria" w:eastAsia="仿宋_GB2312"/>
          <w:kern w:val="0"/>
          <w:sz w:val="32"/>
          <w:szCs w:val="32"/>
        </w:rPr>
        <w:t>附件4</w:t>
      </w:r>
    </w:p>
    <w:p>
      <w:pPr>
        <w:snapToGrid w:val="0"/>
        <w:spacing w:after="156" w:afterLines="50" w:line="560" w:lineRule="exact"/>
        <w:ind w:firstLine="1440" w:firstLineChars="400"/>
        <w:outlineLvl w:val="0"/>
        <w:rPr>
          <w:rFonts w:ascii="黑体" w:hAnsi="黑体" w:eastAsia="黑体" w:cs="宋体"/>
          <w:kern w:val="0"/>
          <w:sz w:val="36"/>
          <w:szCs w:val="36"/>
        </w:rPr>
      </w:pPr>
      <w:r>
        <w:rPr>
          <w:rFonts w:hint="eastAsia" w:ascii="黑体" w:hAnsi="黑体" w:eastAsia="黑体" w:cs="宋体"/>
          <w:kern w:val="0"/>
          <w:sz w:val="36"/>
          <w:szCs w:val="36"/>
        </w:rPr>
        <w:t>“</w:t>
      </w:r>
      <w:r>
        <w:rPr>
          <w:rFonts w:hint="eastAsia" w:ascii="黑体" w:hAnsi="黑体" w:eastAsia="黑体" w:cs="微软雅黑"/>
          <w:kern w:val="0"/>
          <w:sz w:val="36"/>
          <w:szCs w:val="36"/>
        </w:rPr>
        <w:t>资源表</w:t>
      </w:r>
      <w:r>
        <w:rPr>
          <w:rFonts w:hint="eastAsia" w:ascii="黑体" w:hAnsi="黑体" w:eastAsia="黑体" w:cs="Malgun Gothic Semilight"/>
          <w:kern w:val="0"/>
          <w:sz w:val="36"/>
          <w:szCs w:val="36"/>
        </w:rPr>
        <w:t>”</w:t>
      </w:r>
      <w:r>
        <w:rPr>
          <w:rFonts w:hint="eastAsia" w:ascii="黑体" w:hAnsi="黑体" w:eastAsia="黑体" w:cs="微软雅黑"/>
          <w:kern w:val="0"/>
          <w:sz w:val="36"/>
          <w:szCs w:val="36"/>
        </w:rPr>
        <w:t>指标及相关内涵说明</w:t>
      </w:r>
    </w:p>
    <w:p>
      <w:pPr>
        <w:snapToGrid w:val="0"/>
        <w:spacing w:line="560" w:lineRule="exact"/>
        <w:ind w:firstLine="320" w:firstLineChars="100"/>
        <w:rPr>
          <w:rFonts w:ascii="仿宋_GB2312" w:hAnsi="Cambria" w:eastAsia="仿宋_GB2312" w:cs="宋体"/>
          <w:kern w:val="0"/>
          <w:sz w:val="32"/>
          <w:szCs w:val="32"/>
        </w:rPr>
      </w:pPr>
      <w:r>
        <w:rPr>
          <w:rFonts w:hint="eastAsia" w:ascii="仿宋_GB2312" w:hAnsi="Cambria" w:eastAsia="仿宋_GB2312" w:cs="宋体"/>
          <w:kern w:val="0"/>
          <w:sz w:val="32"/>
          <w:szCs w:val="32"/>
        </w:rPr>
        <w:t>“</w:t>
      </w:r>
      <w:r>
        <w:rPr>
          <w:rFonts w:hint="eastAsia" w:ascii="仿宋_GB2312" w:hAnsi="Cambria" w:eastAsia="仿宋_GB2312" w:cs="宋体"/>
          <w:spacing w:val="-6"/>
          <w:kern w:val="0"/>
          <w:sz w:val="32"/>
          <w:szCs w:val="32"/>
        </w:rPr>
        <w:t>资源表”系反映高职院校基本办学条件的管理评价工具。</w:t>
      </w:r>
    </w:p>
    <w:p>
      <w:pPr>
        <w:snapToGrid w:val="0"/>
        <w:spacing w:line="56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1.“生师比”=在校生数/教师总数。</w:t>
      </w:r>
    </w:p>
    <w:p>
      <w:pPr>
        <w:snapToGrid w:val="0"/>
        <w:spacing w:line="560" w:lineRule="exact"/>
        <w:ind w:firstLine="640" w:firstLineChars="200"/>
        <w:rPr>
          <w:rFonts w:hint="eastAsia" w:ascii="仿宋_GB2312" w:hAnsi="Cambria" w:eastAsia="仿宋_GB2312" w:cs="宋体"/>
          <w:kern w:val="0"/>
          <w:sz w:val="32"/>
          <w:szCs w:val="32"/>
        </w:rPr>
      </w:pPr>
      <w:r>
        <w:rPr>
          <w:rFonts w:hint="eastAsia" w:ascii="仿宋_GB2312" w:hAnsi="Cambria" w:eastAsia="仿宋_GB2312" w:cs="宋体"/>
          <w:kern w:val="0"/>
          <w:sz w:val="32"/>
          <w:szCs w:val="32"/>
        </w:rPr>
        <w:t>2.“双师素质专任教师比例”=双师素质专任教师人数/专任教师数。</w:t>
      </w:r>
    </w:p>
    <w:p>
      <w:pPr>
        <w:snapToGrid w:val="0"/>
        <w:spacing w:line="560" w:lineRule="exact"/>
        <w:ind w:firstLine="640" w:firstLineChars="200"/>
        <w:rPr>
          <w:rFonts w:hint="eastAsia" w:ascii="仿宋_GB2312" w:hAnsi="Cambria" w:eastAsia="仿宋_GB2312" w:cs="宋体"/>
          <w:kern w:val="0"/>
          <w:sz w:val="32"/>
          <w:szCs w:val="32"/>
        </w:rPr>
      </w:pPr>
      <w:r>
        <w:rPr>
          <w:rFonts w:hint="eastAsia" w:ascii="仿宋_GB2312" w:hAnsi="Cambria" w:eastAsia="仿宋_GB2312" w:cs="宋体"/>
          <w:kern w:val="0"/>
          <w:sz w:val="32"/>
          <w:szCs w:val="32"/>
        </w:rPr>
        <w:t>3.“高级专业技术职务专任教师比例”=具有副高及以上专业技术职务专任教师人数/专任教师数。</w:t>
      </w:r>
    </w:p>
    <w:p>
      <w:pPr>
        <w:snapToGrid w:val="0"/>
        <w:spacing w:line="56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4.“生均教学科研仪器设备值”指学校教学仪器设备总资产值与在校生总数之比。教学仪器设备资产值是指学校固定资产中用于教学、实验、实习、科研等仪器设备的资产值。统计截止时点以财政年度为准。</w:t>
      </w:r>
    </w:p>
    <w:p>
      <w:pPr>
        <w:snapToGrid w:val="0"/>
        <w:spacing w:line="56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5.“生均教学及辅助、行政办公用房面积”指学校教学及辅助用房和行政办公用房总面积与全日制学历教育在校生总数之比。</w:t>
      </w:r>
    </w:p>
    <w:p>
      <w:pPr>
        <w:snapToGrid w:val="0"/>
        <w:spacing w:line="56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6.“生均校内实践教学工位数”=校内实践教学工位总数/在校生数。其中，工位数以“高等职业院校人才培养工作状态数据”填报数为准。</w:t>
      </w:r>
    </w:p>
    <w:p>
      <w:pPr>
        <w:snapToGrid w:val="0"/>
        <w:spacing w:line="560" w:lineRule="exact"/>
        <w:ind w:firstLine="640" w:firstLineChars="200"/>
        <w:rPr>
          <w:rFonts w:ascii="仿宋_GB2312" w:hAnsi="Cambria" w:eastAsia="仿宋_GB2312" w:cs="宋体"/>
          <w:kern w:val="0"/>
          <w:sz w:val="32"/>
          <w:szCs w:val="32"/>
        </w:rPr>
      </w:pPr>
      <w:r>
        <w:rPr>
          <w:rFonts w:hint="eastAsia" w:ascii="仿宋_GB2312" w:hAnsi="Cambria" w:eastAsia="仿宋_GB2312" w:cs="宋体"/>
          <w:kern w:val="0"/>
          <w:sz w:val="32"/>
          <w:szCs w:val="32"/>
        </w:rPr>
        <w:t>7.“地市级以上科技平台数”指地市级以上（含地市级）有关部门认定的研究院所、重点实验室、企业技术中心、科研工作站、工程研究中心、协同创新中心、工程实验室或其他研发机构等的数量（不含学校自身认定的科技平台）。</w:t>
      </w:r>
    </w:p>
    <w:p>
      <w:pPr>
        <w:ind w:firstLine="640" w:firstLineChars="200"/>
        <w:rPr>
          <w:rFonts w:hint="eastAsia" w:ascii="仿宋_GB2312" w:hAnsi="Cambria" w:eastAsia="仿宋_GB2312" w:cs="宋体"/>
          <w:kern w:val="0"/>
          <w:sz w:val="32"/>
          <w:szCs w:val="32"/>
        </w:rPr>
        <w:sectPr>
          <w:footerReference r:id="rId4" w:type="first"/>
          <w:footerReference r:id="rId3" w:type="default"/>
          <w:pgSz w:w="11906" w:h="16838"/>
          <w:pgMar w:top="1610" w:right="1814" w:bottom="1610" w:left="1814" w:header="851" w:footer="992" w:gutter="0"/>
          <w:pgNumType w:fmt="numberInDash"/>
          <w:cols w:space="720" w:num="1"/>
          <w:titlePg/>
          <w:docGrid w:type="lines" w:linePitch="312" w:charSpace="0"/>
        </w:sectPr>
      </w:pPr>
      <w:r>
        <w:rPr>
          <w:rFonts w:hint="eastAsia" w:ascii="仿宋_GB2312" w:hAnsi="Cambria" w:eastAsia="仿宋_GB2312" w:cs="宋体"/>
          <w:kern w:val="0"/>
          <w:sz w:val="32"/>
          <w:szCs w:val="32"/>
        </w:rPr>
        <w:t>8.“教学计划内课程总数”指按照教学大纲要求开设的课程总量，按学年填报，须与“高等职业院校人才培养工作状态数据”一致。其中，“线上开设课程数”指按照教学大纲要求，拥有数字化教学资源，通过学校网络教学平台开展授课、答疑、讨论以及提交作业和下载课件等基本教学活动的网络课程门数，建有课程网站但不完全符合上述条件的课程，不能计入线上开设课程；“线上课程课均学生数”=选择每门课程的学生累加数/线上开设课程数。</w:t>
      </w:r>
    </w:p>
    <w:p>
      <w:pPr>
        <w:jc w:val="center"/>
        <w:rPr>
          <w:rFonts w:ascii="Cambria" w:hAnsi="Cambria" w:eastAsia="仿宋_GB2312" w:cs="宋体"/>
          <w:kern w:val="0"/>
          <w:sz w:val="30"/>
          <w:szCs w:val="30"/>
        </w:rPr>
      </w:pPr>
      <w:r>
        <w:rPr>
          <w:rFonts w:hint="eastAsia" w:ascii="黑体" w:hAnsi="黑体" w:eastAsia="黑体"/>
          <w:sz w:val="32"/>
          <w:szCs w:val="32"/>
        </w:rPr>
        <w:t>表3 资源表</w:t>
      </w:r>
    </w:p>
    <w:tbl>
      <w:tblPr>
        <w:tblStyle w:val="3"/>
        <w:tblW w:w="0" w:type="auto"/>
        <w:tblInd w:w="0" w:type="dxa"/>
        <w:tblLayout w:type="fixed"/>
        <w:tblCellMar>
          <w:top w:w="0" w:type="dxa"/>
          <w:left w:w="108" w:type="dxa"/>
          <w:bottom w:w="0" w:type="dxa"/>
          <w:right w:w="108" w:type="dxa"/>
        </w:tblCellMar>
      </w:tblPr>
      <w:tblGrid>
        <w:gridCol w:w="794"/>
        <w:gridCol w:w="752"/>
        <w:gridCol w:w="400"/>
        <w:gridCol w:w="1018"/>
        <w:gridCol w:w="2600"/>
        <w:gridCol w:w="909"/>
        <w:gridCol w:w="1000"/>
        <w:gridCol w:w="1038"/>
      </w:tblGrid>
      <w:tr>
        <w:tblPrEx>
          <w:tblCellMar>
            <w:top w:w="0" w:type="dxa"/>
            <w:left w:w="108" w:type="dxa"/>
            <w:bottom w:w="0" w:type="dxa"/>
            <w:right w:w="108" w:type="dxa"/>
          </w:tblCellMar>
        </w:tblPrEx>
        <w:trPr>
          <w:trHeight w:val="288" w:hRule="atLeast"/>
        </w:trPr>
        <w:tc>
          <w:tcPr>
            <w:tcW w:w="79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院校代码</w:t>
            </w:r>
          </w:p>
        </w:tc>
        <w:tc>
          <w:tcPr>
            <w:tcW w:w="752"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院校名称</w:t>
            </w:r>
          </w:p>
        </w:tc>
        <w:tc>
          <w:tcPr>
            <w:tcW w:w="4018" w:type="dxa"/>
            <w:gridSpan w:val="3"/>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指标</w:t>
            </w:r>
          </w:p>
        </w:tc>
        <w:tc>
          <w:tcPr>
            <w:tcW w:w="909"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单位</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20</w:t>
            </w:r>
            <w:r>
              <w:rPr>
                <w:rFonts w:hint="eastAsia" w:ascii="仿宋_GB2312" w:hAnsi="Cambria" w:eastAsia="仿宋_GB2312" w:cs="宋体"/>
                <w:b/>
                <w:bCs/>
                <w:kern w:val="0"/>
                <w:sz w:val="24"/>
                <w:szCs w:val="24"/>
                <w:lang w:val="en-US" w:eastAsia="zh-CN"/>
              </w:rPr>
              <w:t>19</w:t>
            </w:r>
            <w:r>
              <w:rPr>
                <w:rFonts w:hint="eastAsia" w:ascii="仿宋_GB2312" w:hAnsi="Cambria" w:eastAsia="仿宋_GB2312" w:cs="宋体"/>
                <w:b/>
                <w:bCs/>
                <w:kern w:val="0"/>
                <w:sz w:val="24"/>
                <w:szCs w:val="24"/>
              </w:rPr>
              <w:t>年</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仿宋_GB2312" w:hAnsi="Cambria" w:eastAsia="仿宋_GB2312" w:cs="宋体"/>
                <w:b/>
                <w:bCs/>
                <w:kern w:val="0"/>
                <w:sz w:val="24"/>
                <w:szCs w:val="24"/>
              </w:rPr>
            </w:pPr>
            <w:r>
              <w:rPr>
                <w:rFonts w:hint="eastAsia" w:ascii="仿宋_GB2312" w:hAnsi="Cambria" w:eastAsia="仿宋_GB2312" w:cs="宋体"/>
                <w:b/>
                <w:bCs/>
                <w:kern w:val="0"/>
                <w:sz w:val="24"/>
                <w:szCs w:val="24"/>
              </w:rPr>
              <w:t>20</w:t>
            </w:r>
            <w:r>
              <w:rPr>
                <w:rFonts w:hint="eastAsia" w:ascii="仿宋_GB2312" w:hAnsi="Cambria" w:eastAsia="仿宋_GB2312" w:cs="宋体"/>
                <w:b/>
                <w:bCs/>
                <w:kern w:val="0"/>
                <w:sz w:val="24"/>
                <w:szCs w:val="24"/>
                <w:lang w:val="en-US" w:eastAsia="zh-CN"/>
              </w:rPr>
              <w:t>20</w:t>
            </w:r>
            <w:r>
              <w:rPr>
                <w:rFonts w:hint="eastAsia" w:ascii="仿宋_GB2312" w:hAnsi="Cambria" w:eastAsia="仿宋_GB2312" w:cs="宋体"/>
                <w:b/>
                <w:bCs/>
                <w:kern w:val="0"/>
                <w:sz w:val="24"/>
                <w:szCs w:val="24"/>
              </w:rPr>
              <w:t>年</w:t>
            </w:r>
          </w:p>
        </w:tc>
      </w:tr>
      <w:tr>
        <w:tblPrEx>
          <w:tblCellMar>
            <w:top w:w="0" w:type="dxa"/>
            <w:left w:w="108" w:type="dxa"/>
            <w:bottom w:w="0" w:type="dxa"/>
            <w:right w:w="108" w:type="dxa"/>
          </w:tblCellMar>
        </w:tblPrEx>
        <w:trPr>
          <w:trHeight w:val="455" w:hRule="atLeast"/>
        </w:trPr>
        <w:tc>
          <w:tcPr>
            <w:tcW w:w="794" w:type="dxa"/>
            <w:vMerge w:val="restart"/>
            <w:tcBorders>
              <w:top w:val="single" w:color="auto" w:sz="4" w:space="0"/>
              <w:left w:val="single" w:color="auto" w:sz="4" w:space="0"/>
              <w:bottom w:val="single" w:color="auto" w:sz="4" w:space="0"/>
              <w:right w:val="single" w:color="auto" w:sz="4" w:space="0"/>
            </w:tcBorders>
            <w:shd w:val="clear" w:color="000000" w:fill="FFFFFF"/>
            <w:vAlign w:val="bottom"/>
          </w:tcPr>
          <w:p>
            <w:pPr>
              <w:widowControl/>
              <w:rPr>
                <w:rFonts w:ascii="仿宋_GB2312" w:hAnsi="Cambria" w:eastAsia="仿宋_GB2312" w:cs="宋体"/>
                <w:kern w:val="0"/>
                <w:sz w:val="24"/>
                <w:szCs w:val="24"/>
              </w:rPr>
            </w:pPr>
            <w:bookmarkStart w:id="0" w:name="_GoBack" w:colFirst="6" w:colLast="6"/>
          </w:p>
        </w:tc>
        <w:tc>
          <w:tcPr>
            <w:tcW w:w="752" w:type="dxa"/>
            <w:vMerge w:val="restart"/>
            <w:tcBorders>
              <w:top w:val="single" w:color="auto" w:sz="4" w:space="0"/>
              <w:left w:val="single" w:color="auto" w:sz="4" w:space="0"/>
              <w:bottom w:val="single" w:color="auto" w:sz="4" w:space="0"/>
              <w:right w:val="single" w:color="auto" w:sz="4" w:space="0"/>
            </w:tcBorders>
            <w:shd w:val="clear" w:color="000000" w:fill="FFFFFF"/>
            <w:vAlign w:val="bottom"/>
          </w:tcPr>
          <w:p>
            <w:pPr>
              <w:widowControl/>
              <w:rPr>
                <w:rFonts w:ascii="仿宋_GB2312" w:hAnsi="Cambria" w:eastAsia="仿宋_GB2312" w:cs="宋体"/>
                <w:kern w:val="0"/>
                <w:sz w:val="24"/>
                <w:szCs w:val="24"/>
              </w:rPr>
            </w:pPr>
          </w:p>
        </w:tc>
        <w:tc>
          <w:tcPr>
            <w:tcW w:w="40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1</w:t>
            </w:r>
          </w:p>
        </w:tc>
        <w:tc>
          <w:tcPr>
            <w:tcW w:w="361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生师比</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13.27</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8"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2</w:t>
            </w:r>
          </w:p>
        </w:tc>
        <w:tc>
          <w:tcPr>
            <w:tcW w:w="361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双师素质专任教师比例</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83.4</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8"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3</w:t>
            </w:r>
          </w:p>
        </w:tc>
        <w:tc>
          <w:tcPr>
            <w:tcW w:w="361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仿宋_GB2312" w:hAnsi="Cambria" w:eastAsia="仿宋_GB2312" w:cs="宋体"/>
                <w:b/>
                <w:bCs/>
                <w:kern w:val="0"/>
                <w:sz w:val="24"/>
                <w:szCs w:val="24"/>
              </w:rPr>
            </w:pPr>
            <w:r>
              <w:rPr>
                <w:rFonts w:hint="eastAsia" w:ascii="仿宋_GB2312" w:hAnsi="Cambria" w:eastAsia="仿宋_GB2312" w:cs="宋体"/>
                <w:kern w:val="0"/>
                <w:sz w:val="24"/>
                <w:szCs w:val="24"/>
              </w:rPr>
              <w:t>高级专业技术职务专任教师比例</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26.97</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8"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4</w:t>
            </w:r>
          </w:p>
        </w:tc>
        <w:tc>
          <w:tcPr>
            <w:tcW w:w="361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生均教学科研仪器设备值</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元/生</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9020.86</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8"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5</w:t>
            </w:r>
          </w:p>
        </w:tc>
        <w:tc>
          <w:tcPr>
            <w:tcW w:w="361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生均教学及辅助、行政办公用房面积</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Cambria" w:eastAsia="仿宋_GB2312" w:cs="宋体"/>
                <w:kern w:val="0"/>
                <w:sz w:val="24"/>
                <w:szCs w:val="24"/>
                <w:vertAlign w:val="superscript"/>
              </w:rPr>
            </w:pPr>
            <w:r>
              <w:rPr>
                <w:rFonts w:hint="eastAsia" w:ascii="仿宋_GB2312" w:hAnsi="Cambria" w:eastAsia="仿宋_GB2312" w:cs="宋体"/>
                <w:kern w:val="0"/>
                <w:sz w:val="24"/>
                <w:szCs w:val="24"/>
              </w:rPr>
              <w:t>m</w:t>
            </w:r>
            <w:r>
              <w:rPr>
                <w:rFonts w:hint="eastAsia" w:ascii="仿宋_GB2312" w:hAnsi="Cambria" w:eastAsia="仿宋_GB2312" w:cs="宋体"/>
                <w:kern w:val="0"/>
                <w:sz w:val="24"/>
                <w:szCs w:val="24"/>
                <w:vertAlign w:val="superscript"/>
              </w:rPr>
              <w:t>2</w:t>
            </w:r>
            <w:r>
              <w:rPr>
                <w:rFonts w:hint="eastAsia" w:ascii="仿宋_GB2312" w:hAnsi="Cambria" w:eastAsia="仿宋_GB2312" w:cs="宋体"/>
                <w:kern w:val="0"/>
                <w:sz w:val="24"/>
                <w:szCs w:val="24"/>
              </w:rPr>
              <w:t>/生</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19.71</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8"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6</w:t>
            </w:r>
          </w:p>
        </w:tc>
        <w:tc>
          <w:tcPr>
            <w:tcW w:w="361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生均校内实践教学工位数</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个/生</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0.38</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68"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7</w:t>
            </w:r>
          </w:p>
        </w:tc>
        <w:tc>
          <w:tcPr>
            <w:tcW w:w="361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地市级以上科技平台数</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个</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1</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499"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vMerge w:val="restart"/>
            <w:tcBorders>
              <w:top w:val="single" w:color="auto" w:sz="4" w:space="0"/>
              <w:left w:val="nil"/>
              <w:right w:val="single" w:color="auto" w:sz="4" w:space="0"/>
            </w:tcBorders>
            <w:shd w:val="clear" w:color="000000" w:fill="FFFFFF"/>
            <w:noWrap/>
            <w:vAlign w:val="center"/>
          </w:tcPr>
          <w:p>
            <w:pPr>
              <w:widowControl/>
              <w:jc w:val="center"/>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8</w:t>
            </w:r>
          </w:p>
        </w:tc>
        <w:tc>
          <w:tcPr>
            <w:tcW w:w="3618"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教学计划内课程总数</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门</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533</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549"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vMerge w:val="continue"/>
            <w:tcBorders>
              <w:left w:val="nil"/>
              <w:right w:val="single" w:color="auto" w:sz="4" w:space="0"/>
            </w:tcBorders>
            <w:shd w:val="clear" w:color="000000" w:fill="FFFFFF"/>
            <w:noWrap/>
            <w:vAlign w:val="center"/>
          </w:tcPr>
          <w:p>
            <w:pPr>
              <w:widowControl/>
              <w:jc w:val="center"/>
              <w:rPr>
                <w:rFonts w:ascii="仿宋_GB2312" w:hAnsi="Cambria" w:eastAsia="仿宋_GB2312" w:cs="宋体"/>
                <w:kern w:val="0"/>
                <w:sz w:val="24"/>
                <w:szCs w:val="24"/>
              </w:rPr>
            </w:pPr>
          </w:p>
        </w:tc>
        <w:tc>
          <w:tcPr>
            <w:tcW w:w="1018" w:type="dxa"/>
            <w:vMerge w:val="restart"/>
            <w:tcBorders>
              <w:top w:val="single" w:color="auto" w:sz="4" w:space="0"/>
              <w:left w:val="nil"/>
              <w:right w:val="single" w:color="auto" w:sz="4" w:space="0"/>
            </w:tcBorders>
            <w:shd w:val="clear" w:color="000000" w:fill="FFFFFF"/>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其中：</w:t>
            </w:r>
          </w:p>
        </w:tc>
        <w:tc>
          <w:tcPr>
            <w:tcW w:w="260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线上开设课程数</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门</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82</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rPr>
                <w:rFonts w:ascii="仿宋_GB2312" w:hAnsi="Cambria" w:eastAsia="仿宋_GB2312" w:cs="宋体"/>
                <w:kern w:val="0"/>
                <w:sz w:val="24"/>
                <w:szCs w:val="24"/>
              </w:rPr>
            </w:pPr>
          </w:p>
        </w:tc>
      </w:tr>
      <w:tr>
        <w:tblPrEx>
          <w:tblCellMar>
            <w:top w:w="0" w:type="dxa"/>
            <w:left w:w="108" w:type="dxa"/>
            <w:bottom w:w="0" w:type="dxa"/>
            <w:right w:w="108" w:type="dxa"/>
          </w:tblCellMar>
        </w:tblPrEx>
        <w:trPr>
          <w:trHeight w:val="549"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Cambria" w:eastAsia="仿宋_GB2312" w:cs="宋体"/>
                <w:kern w:val="0"/>
                <w:sz w:val="24"/>
                <w:szCs w:val="24"/>
              </w:rPr>
            </w:pPr>
          </w:p>
        </w:tc>
        <w:tc>
          <w:tcPr>
            <w:tcW w:w="400" w:type="dxa"/>
            <w:vMerge w:val="continue"/>
            <w:tcBorders>
              <w:left w:val="nil"/>
              <w:bottom w:val="single" w:color="auto" w:sz="4" w:space="0"/>
              <w:right w:val="single" w:color="auto" w:sz="4" w:space="0"/>
            </w:tcBorders>
            <w:shd w:val="clear" w:color="000000" w:fill="FFFFFF"/>
            <w:noWrap/>
            <w:vAlign w:val="center"/>
          </w:tcPr>
          <w:p>
            <w:pPr>
              <w:widowControl/>
              <w:jc w:val="center"/>
              <w:rPr>
                <w:rFonts w:ascii="仿宋_GB2312" w:hAnsi="Cambria" w:eastAsia="仿宋_GB2312" w:cs="宋体"/>
                <w:kern w:val="0"/>
                <w:sz w:val="24"/>
                <w:szCs w:val="24"/>
              </w:rPr>
            </w:pPr>
          </w:p>
        </w:tc>
        <w:tc>
          <w:tcPr>
            <w:tcW w:w="1018" w:type="dxa"/>
            <w:vMerge w:val="continue"/>
            <w:tcBorders>
              <w:left w:val="nil"/>
              <w:bottom w:val="single" w:color="auto" w:sz="4" w:space="0"/>
              <w:right w:val="single" w:color="auto" w:sz="4" w:space="0"/>
            </w:tcBorders>
            <w:shd w:val="clear" w:color="000000" w:fill="FFFFFF"/>
            <w:vAlign w:val="center"/>
          </w:tcPr>
          <w:p>
            <w:pPr>
              <w:widowControl/>
              <w:ind w:firstLine="240" w:firstLineChars="100"/>
              <w:jc w:val="left"/>
              <w:rPr>
                <w:rFonts w:hint="eastAsia" w:ascii="仿宋_GB2312" w:hAnsi="Cambria" w:eastAsia="仿宋_GB2312" w:cs="宋体"/>
                <w:kern w:val="0"/>
                <w:sz w:val="24"/>
                <w:szCs w:val="24"/>
              </w:rPr>
            </w:pPr>
          </w:p>
        </w:tc>
        <w:tc>
          <w:tcPr>
            <w:tcW w:w="2600" w:type="dxa"/>
            <w:tcBorders>
              <w:top w:val="single" w:color="auto" w:sz="4" w:space="0"/>
              <w:left w:val="nil"/>
              <w:bottom w:val="single" w:color="auto" w:sz="4" w:space="0"/>
              <w:right w:val="single" w:color="auto" w:sz="4" w:space="0"/>
            </w:tcBorders>
            <w:shd w:val="clear" w:color="000000" w:fill="FFFFFF"/>
            <w:vAlign w:val="center"/>
          </w:tcPr>
          <w:p>
            <w:pPr>
              <w:widowControl/>
              <w:jc w:val="left"/>
              <w:rPr>
                <w:rFonts w:hint="eastAsia" w:ascii="仿宋_GB2312" w:hAnsi="Cambria" w:eastAsia="仿宋_GB2312" w:cs="宋体"/>
                <w:kern w:val="0"/>
                <w:sz w:val="24"/>
                <w:szCs w:val="24"/>
              </w:rPr>
            </w:pPr>
            <w:r>
              <w:rPr>
                <w:rFonts w:hint="eastAsia" w:ascii="仿宋_GB2312" w:hAnsi="Cambria" w:eastAsia="仿宋_GB2312" w:cs="宋体"/>
                <w:kern w:val="0"/>
                <w:sz w:val="24"/>
                <w:szCs w:val="24"/>
              </w:rPr>
              <w:t>线上课程课均学生数</w:t>
            </w:r>
          </w:p>
        </w:tc>
        <w:tc>
          <w:tcPr>
            <w:tcW w:w="9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仿宋_GB2312" w:hAnsi="Cambria" w:eastAsia="仿宋_GB2312" w:cs="宋体"/>
                <w:kern w:val="0"/>
                <w:sz w:val="24"/>
                <w:szCs w:val="24"/>
              </w:rPr>
            </w:pPr>
            <w:r>
              <w:rPr>
                <w:rFonts w:hint="eastAsia" w:ascii="仿宋_GB2312" w:hAnsi="Cambria" w:eastAsia="仿宋_GB2312" w:cs="宋体"/>
                <w:kern w:val="0"/>
                <w:sz w:val="24"/>
                <w:szCs w:val="24"/>
              </w:rPr>
              <w:t>人</w:t>
            </w:r>
          </w:p>
        </w:tc>
        <w:tc>
          <w:tcPr>
            <w:tcW w:w="1000" w:type="dxa"/>
            <w:tcBorders>
              <w:top w:val="single" w:color="auto" w:sz="4" w:space="0"/>
              <w:left w:val="nil"/>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仿宋_GB2312" w:hAnsi="Cambria" w:eastAsia="仿宋_GB2312" w:cs="宋体"/>
                <w:kern w:val="0"/>
                <w:sz w:val="24"/>
                <w:szCs w:val="24"/>
              </w:rPr>
            </w:pPr>
            <w:r>
              <w:rPr>
                <w:rFonts w:hint="eastAsia" w:ascii="仿宋" w:hAnsi="仿宋" w:eastAsia="仿宋" w:cs="仿宋"/>
                <w:i w:val="0"/>
                <w:color w:val="000000"/>
                <w:kern w:val="0"/>
                <w:sz w:val="20"/>
                <w:szCs w:val="20"/>
                <w:u w:val="none"/>
                <w:lang w:val="en-US" w:eastAsia="zh-CN" w:bidi="ar"/>
              </w:rPr>
              <w:t>1200</w:t>
            </w:r>
          </w:p>
        </w:tc>
        <w:tc>
          <w:tcPr>
            <w:tcW w:w="1038" w:type="dxa"/>
            <w:tcBorders>
              <w:top w:val="single" w:color="auto" w:sz="4" w:space="0"/>
              <w:left w:val="nil"/>
              <w:bottom w:val="single" w:color="auto" w:sz="4" w:space="0"/>
              <w:right w:val="single" w:color="auto" w:sz="4" w:space="0"/>
            </w:tcBorders>
            <w:shd w:val="clear" w:color="000000" w:fill="FFFFFF"/>
            <w:noWrap/>
            <w:vAlign w:val="center"/>
          </w:tcPr>
          <w:p>
            <w:pPr>
              <w:widowControl/>
              <w:rPr>
                <w:rFonts w:ascii="仿宋_GB2312" w:hAnsi="Cambria" w:eastAsia="仿宋_GB2312" w:cs="宋体"/>
                <w:kern w:val="0"/>
                <w:sz w:val="24"/>
                <w:szCs w:val="24"/>
              </w:rPr>
            </w:pPr>
          </w:p>
        </w:tc>
      </w:tr>
      <w:bookmarkEnd w:id="0"/>
      <w:tr>
        <w:tblPrEx>
          <w:tblCellMar>
            <w:top w:w="0" w:type="dxa"/>
            <w:left w:w="108" w:type="dxa"/>
            <w:bottom w:w="0" w:type="dxa"/>
            <w:right w:w="108" w:type="dxa"/>
          </w:tblCellMar>
        </w:tblPrEx>
        <w:trPr>
          <w:trHeight w:val="1626" w:hRule="atLeast"/>
        </w:trPr>
        <w:tc>
          <w:tcPr>
            <w:tcW w:w="79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ambria" w:hAnsi="Cambria" w:eastAsia="仿宋" w:cs="宋体"/>
                <w:kern w:val="0"/>
                <w:sz w:val="24"/>
                <w:szCs w:val="24"/>
              </w:rPr>
            </w:pPr>
          </w:p>
        </w:tc>
        <w:tc>
          <w:tcPr>
            <w:tcW w:w="75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Cambria" w:hAnsi="Cambria" w:eastAsia="仿宋" w:cs="宋体"/>
                <w:kern w:val="0"/>
                <w:sz w:val="24"/>
                <w:szCs w:val="24"/>
              </w:rPr>
            </w:pPr>
          </w:p>
        </w:tc>
        <w:tc>
          <w:tcPr>
            <w:tcW w:w="6965" w:type="dxa"/>
            <w:gridSpan w:val="6"/>
            <w:tcBorders>
              <w:top w:val="single" w:color="auto" w:sz="4" w:space="0"/>
              <w:left w:val="nil"/>
              <w:bottom w:val="single" w:color="auto" w:sz="4" w:space="0"/>
              <w:right w:val="single" w:color="auto" w:sz="4" w:space="0"/>
            </w:tcBorders>
            <w:shd w:val="clear" w:color="000000" w:fill="FFFFFF"/>
            <w:noWrap/>
            <w:vAlign w:val="center"/>
          </w:tcPr>
          <w:p>
            <w:pPr>
              <w:widowControl/>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学校类别（单选）：综合、师范、民族院校（）</w:t>
            </w:r>
          </w:p>
          <w:p>
            <w:pPr>
              <w:widowControl/>
              <w:ind w:firstLine="2160" w:firstLineChars="900"/>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工科、农、林院校（）</w:t>
            </w:r>
          </w:p>
          <w:p>
            <w:pPr>
              <w:widowControl/>
              <w:ind w:firstLine="2160" w:firstLineChars="900"/>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医学院校（）</w:t>
            </w:r>
          </w:p>
          <w:p>
            <w:pPr>
              <w:widowControl/>
              <w:ind w:firstLine="2160" w:firstLineChars="900"/>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语文、财经、政法院校（ ）</w:t>
            </w:r>
          </w:p>
          <w:p>
            <w:pPr>
              <w:widowControl/>
              <w:ind w:firstLine="2160" w:firstLineChars="900"/>
              <w:jc w:val="left"/>
              <w:rPr>
                <w:rFonts w:ascii="仿宋_GB2312" w:hAnsi="Cambria" w:eastAsia="仿宋_GB2312" w:cs="宋体"/>
                <w:kern w:val="0"/>
                <w:sz w:val="24"/>
                <w:szCs w:val="24"/>
              </w:rPr>
            </w:pPr>
            <w:r>
              <w:rPr>
                <w:rFonts w:hint="eastAsia" w:ascii="仿宋_GB2312" w:hAnsi="Cambria" w:eastAsia="仿宋_GB2312" w:cs="宋体"/>
                <w:kern w:val="0"/>
                <w:sz w:val="24"/>
                <w:szCs w:val="24"/>
              </w:rPr>
              <w:t>体育院校（）</w:t>
            </w:r>
          </w:p>
          <w:p>
            <w:pPr>
              <w:widowControl/>
              <w:ind w:firstLine="2160" w:firstLineChars="900"/>
              <w:jc w:val="left"/>
              <w:rPr>
                <w:rFonts w:ascii="Cambria" w:hAnsi="Cambria" w:eastAsia="仿宋" w:cs="宋体"/>
                <w:kern w:val="0"/>
                <w:sz w:val="24"/>
                <w:szCs w:val="24"/>
              </w:rPr>
            </w:pPr>
            <w:r>
              <w:rPr>
                <w:rFonts w:hint="eastAsia" w:ascii="仿宋_GB2312" w:hAnsi="Cambria" w:eastAsia="仿宋_GB2312" w:cs="宋体"/>
                <w:kern w:val="0"/>
                <w:sz w:val="24"/>
                <w:szCs w:val="24"/>
              </w:rPr>
              <w:t>艺术院校（）</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algun Gothic Semilight">
    <w:panose1 w:val="020B0502040204020203"/>
    <w:charset w:val="86"/>
    <w:family w:val="swiss"/>
    <w:pitch w:val="default"/>
    <w:sig w:usb0="900002AF" w:usb1="01D77CFB" w:usb2="00000012" w:usb3="00000000" w:csb0="203E01BD" w:csb1="D7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eastAsia="zh-CN"/>
      </w:rPr>
      <w:t>-</w:t>
    </w:r>
    <w:r>
      <w:t xml:space="preserve"> 2 -</w:t>
    </w:r>
    <w:r>
      <w:fldChar w:fldCharType="end"/>
    </w:r>
  </w:p>
  <w:p>
    <w:pPr>
      <w:pStyle w:val="2"/>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eastAsia="zh-CN"/>
      </w:rPr>
      <w:t>-</w:t>
    </w:r>
    <w:r>
      <w:rPr>
        <w:lang w:val="en-US" w:eastAsia="zh-CN"/>
      </w:rPr>
      <w:t xml:space="preserve"> 1 -</w: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55C"/>
    <w:rsid w:val="0010107E"/>
    <w:rsid w:val="00494EC8"/>
    <w:rsid w:val="00DA055C"/>
    <w:rsid w:val="145202AB"/>
    <w:rsid w:val="5B4974E2"/>
    <w:rsid w:val="74481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link w:val="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character" w:customStyle="1" w:styleId="5">
    <w:name w:val="页脚 Char"/>
    <w:link w:val="2"/>
    <w:uiPriority w:val="99"/>
    <w:rPr>
      <w:sz w:val="18"/>
      <w:szCs w:val="18"/>
    </w:rPr>
  </w:style>
  <w:style w:type="character" w:customStyle="1" w:styleId="6">
    <w:name w:val="页脚 Char1"/>
    <w:basedOn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146</Words>
  <Characters>836</Characters>
  <Lines>6</Lines>
  <Paragraphs>1</Paragraphs>
  <TotalTime>0</TotalTime>
  <ScaleCrop>false</ScaleCrop>
  <LinksUpToDate>false</LinksUpToDate>
  <CharactersWithSpaces>981</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2019-12-02T06:48:00Z</dcterms:created>
  <dc:creator>User</dc:creator>
  <cp:lastModifiedBy>顾至欣</cp:lastModifiedBy>
  <dcterms:modified xsi:type="dcterms:W3CDTF">2020-09-11T03:44:53Z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